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722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Сивкова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Георгия Михайловича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01.10.2024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Сивков Г.М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 xml:space="preserve">586240718018333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Сивков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Сивкова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18.07.2024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Сивкова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Сивкова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Сивкова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0412365400765007222520142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